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20569" w14:textId="0A1006B3" w:rsidR="00683494" w:rsidRDefault="00683494">
      <w:pPr>
        <w:rPr>
          <w:rFonts w:ascii="Times New Roman" w:hAnsi="Times New Roman" w:cs="Times New Roman"/>
          <w:b/>
          <w:bCs/>
          <w:sz w:val="32"/>
          <w:szCs w:val="32"/>
        </w:rPr>
      </w:pPr>
      <w:r w:rsidRPr="00F80085">
        <w:rPr>
          <w:rFonts w:ascii="Times New Roman" w:hAnsi="Times New Roman" w:cs="Times New Roman"/>
          <w:b/>
          <w:bCs/>
          <w:sz w:val="32"/>
          <w:szCs w:val="32"/>
        </w:rPr>
        <w:t>Why was Purkayastha’s arrest invalidated?</w:t>
      </w:r>
    </w:p>
    <w:p w14:paraId="726B133C" w14:textId="709622F9" w:rsidR="00F80085" w:rsidRPr="00F80085" w:rsidRDefault="00F80085" w:rsidP="00F80085">
      <w:pPr>
        <w:rPr>
          <w:rFonts w:ascii="Times New Roman" w:hAnsi="Times New Roman" w:cs="Times New Roman"/>
        </w:rPr>
      </w:pPr>
      <w:r w:rsidRPr="00F80085">
        <w:rPr>
          <w:rFonts w:ascii="Times New Roman" w:hAnsi="Times New Roman" w:cs="Times New Roman"/>
        </w:rPr>
        <w:t xml:space="preserve">On May 15, the Supreme Court ordered the release of the online portal </w:t>
      </w:r>
      <w:proofErr w:type="spellStart"/>
      <w:r w:rsidRPr="00F80085">
        <w:rPr>
          <w:rFonts w:ascii="Times New Roman" w:hAnsi="Times New Roman" w:cs="Times New Roman"/>
        </w:rPr>
        <w:t>NewsClick’s</w:t>
      </w:r>
      <w:proofErr w:type="spellEnd"/>
      <w:r w:rsidRPr="00F80085">
        <w:rPr>
          <w:rFonts w:ascii="Times New Roman" w:hAnsi="Times New Roman" w:cs="Times New Roman"/>
        </w:rPr>
        <w:t xml:space="preserve"> founder Prabir Purkayastha from custody after concluding that his arrest and remand under the draconian Unlawful Activities Prevention Act, 1967 (UAPA) by the Delhi Police were “invalid in the eyes of law”. A Bench of Justices B.R. Gavai and Sandeep Mehta pointed out that neither Mr. Purkayastha nor his designated counsel were provided the grounds for his arrest in writing, which is “sacrosanct and cannot be breached under any situation”. The ruling emphasises the need for law enforcement agencies to adhere to proper procedure and due process, especially in stringent UAPA cases where there is a reverse burden of proof on the accused. This makes obtaining bail extremely difficult in such cases.</w:t>
      </w:r>
    </w:p>
    <w:p w14:paraId="461BFFA5" w14:textId="4AC8924F" w:rsidR="00F80085" w:rsidRPr="00F80085" w:rsidRDefault="00F80085" w:rsidP="00F80085">
      <w:pPr>
        <w:rPr>
          <w:rFonts w:ascii="Times New Roman" w:hAnsi="Times New Roman" w:cs="Times New Roman"/>
        </w:rPr>
      </w:pPr>
      <w:r w:rsidRPr="00F80085">
        <w:rPr>
          <w:rFonts w:ascii="Times New Roman" w:hAnsi="Times New Roman" w:cs="Times New Roman"/>
        </w:rPr>
        <w:t>Why was the arrest ‘illegal’?</w:t>
      </w:r>
    </w:p>
    <w:p w14:paraId="0188A35D" w14:textId="0BA1B140" w:rsidR="00F80085" w:rsidRPr="00F80085" w:rsidRDefault="00F80085" w:rsidP="00F80085">
      <w:pPr>
        <w:rPr>
          <w:rFonts w:ascii="Times New Roman" w:hAnsi="Times New Roman" w:cs="Times New Roman"/>
        </w:rPr>
      </w:pPr>
      <w:r w:rsidRPr="00F80085">
        <w:rPr>
          <w:rFonts w:ascii="Times New Roman" w:hAnsi="Times New Roman" w:cs="Times New Roman"/>
        </w:rPr>
        <w:t>As per the arrest memo, Mr. Purkayastha was arrested on October 3, 2023, at 5.45 p.m. by invoking stringent UAPA provisions on the ground that he had allegedly received funds through Chinese firms to spread pro-China propaganda. Earlier on August 17, 2023, an FIR was lodged by the Delhi Police envisaging serious offences under Sections 13 (unlawful activities), 16 (terrorist act), 17 (raising funds for terrorist acts), 18 (conspiracy), and 22(C) (offences by companies, trusts) of the UAPA, and Sections 153A (promoting enmity between different groups) and 120B (criminal conspiracy) of the Indian Penal Code, 1860 (IPC).</w:t>
      </w:r>
    </w:p>
    <w:p w14:paraId="165C1322" w14:textId="5519A1D7" w:rsidR="00F80085" w:rsidRPr="00F80085" w:rsidRDefault="00F80085" w:rsidP="00F80085">
      <w:pPr>
        <w:rPr>
          <w:rFonts w:ascii="Times New Roman" w:hAnsi="Times New Roman" w:cs="Times New Roman"/>
        </w:rPr>
      </w:pPr>
      <w:r w:rsidRPr="00F80085">
        <w:rPr>
          <w:rFonts w:ascii="Times New Roman" w:hAnsi="Times New Roman" w:cs="Times New Roman"/>
        </w:rPr>
        <w:t>During the proceedings, senior advocate Kapil Sibal, appearing on behalf of Mr. Purkayastha, contended that the FIR was neither made available in the public domain nor was a copy supplied to him until his arrest and remand, in violation of the fundamental right guaranteed under Article 22(1) of the Constitution. Further, the Court was apprised that on the morning of October 4, 2023, Mr. Purkayastha was produced before the remand judge at his residence without intimating his designated lawyer Mr. Arshdeep Khurana. He was instead represented by a legal aid lawyer whom he had never engaged before.</w:t>
      </w:r>
    </w:p>
    <w:p w14:paraId="4AC978AB" w14:textId="53629AC8" w:rsidR="00F80085" w:rsidRPr="00F80085" w:rsidRDefault="00F80085" w:rsidP="00F80085">
      <w:pPr>
        <w:rPr>
          <w:rFonts w:ascii="Times New Roman" w:hAnsi="Times New Roman" w:cs="Times New Roman"/>
        </w:rPr>
      </w:pPr>
      <w:r w:rsidRPr="00F80085">
        <w:rPr>
          <w:rFonts w:ascii="Times New Roman" w:hAnsi="Times New Roman" w:cs="Times New Roman"/>
        </w:rPr>
        <w:t>Mr. Purkayastha’s lawyer was finally informed about the remand proceedings at 7.07 a.m. through a WhatsApp message — after the remand order granting seven days of police custody had already been passed. However, two sentences were subsequently inserted in the remand order to give the impression that the lawyer had been heard before the passing of the order. This, Mr. Sibal argued, violated the Supreme Court’s verdict in Pankaj Bansal versus Union of India and Others (2023) wherein it was held that to give effect to constitutional safeguards, “it would be necessary, henceforth, that a copy of such written grounds of arrest is furnished to the arrested person as a matter of course and without exception.”</w:t>
      </w:r>
    </w:p>
    <w:p w14:paraId="2E271E8D" w14:textId="77777777" w:rsidR="00F80085" w:rsidRPr="00F80085" w:rsidRDefault="00F80085" w:rsidP="00F80085">
      <w:pPr>
        <w:rPr>
          <w:rFonts w:ascii="Times New Roman" w:hAnsi="Times New Roman" w:cs="Times New Roman"/>
        </w:rPr>
      </w:pPr>
      <w:r w:rsidRPr="00F80085">
        <w:rPr>
          <w:rFonts w:ascii="Times New Roman" w:hAnsi="Times New Roman" w:cs="Times New Roman"/>
        </w:rPr>
        <w:t xml:space="preserve">On the other hand, Additional Solicitor-General S.V. Raju, appearing for the Delhi Police, pointed out that the ratio of Pankaj Bansal applied only to money laundering cases under the Prevention of Money Laundering Act, 2002, (PMLA), and not those under the UAPA. The </w:t>
      </w:r>
      <w:r w:rsidRPr="00F80085">
        <w:rPr>
          <w:rFonts w:ascii="Times New Roman" w:hAnsi="Times New Roman" w:cs="Times New Roman"/>
        </w:rPr>
        <w:lastRenderedPageBreak/>
        <w:t>law officer argued that the UAPA required the police to only “inform” the accused of the reasons for arrest, without needing to provide them in writing to him.</w:t>
      </w:r>
    </w:p>
    <w:p w14:paraId="2DCBC650" w14:textId="77777777" w:rsidR="00F80085" w:rsidRPr="00F80085" w:rsidRDefault="00F80085" w:rsidP="00F80085">
      <w:pPr>
        <w:rPr>
          <w:rFonts w:ascii="Times New Roman" w:hAnsi="Times New Roman" w:cs="Times New Roman"/>
        </w:rPr>
      </w:pPr>
    </w:p>
    <w:p w14:paraId="42CF6778" w14:textId="08D8D728" w:rsidR="00F80085" w:rsidRPr="00F80085" w:rsidRDefault="00F80085" w:rsidP="00F80085">
      <w:pPr>
        <w:rPr>
          <w:rFonts w:ascii="Times New Roman" w:hAnsi="Times New Roman" w:cs="Times New Roman"/>
        </w:rPr>
      </w:pPr>
      <w:r w:rsidRPr="00F80085">
        <w:rPr>
          <w:rFonts w:ascii="Times New Roman" w:hAnsi="Times New Roman" w:cs="Times New Roman"/>
        </w:rPr>
        <w:t>What does Article 22 stipulate?</w:t>
      </w:r>
    </w:p>
    <w:p w14:paraId="77082607" w14:textId="01C2CD9C" w:rsidR="00F80085" w:rsidRPr="00F80085" w:rsidRDefault="00F80085" w:rsidP="00F80085">
      <w:pPr>
        <w:rPr>
          <w:rFonts w:ascii="Times New Roman" w:hAnsi="Times New Roman" w:cs="Times New Roman"/>
        </w:rPr>
      </w:pPr>
      <w:r w:rsidRPr="00F80085">
        <w:rPr>
          <w:rFonts w:ascii="Times New Roman" w:hAnsi="Times New Roman" w:cs="Times New Roman"/>
        </w:rPr>
        <w:t>Mr. Purkayastha’s case is based on the constitutional safeguard provided under Article 22(1) of the Constitution, which dictates that no person who is arrested can be detained in custody without being promptly informed of the grounds for their arrest. It further stipulates that an arrested person cannot be denied “the right to consult, and to be defended by, a legal practitioner of his choice.”</w:t>
      </w:r>
    </w:p>
    <w:p w14:paraId="54F90BBE" w14:textId="2956965E" w:rsidR="00F80085" w:rsidRPr="00F80085" w:rsidRDefault="00F80085" w:rsidP="00F80085">
      <w:pPr>
        <w:rPr>
          <w:rFonts w:ascii="Times New Roman" w:hAnsi="Times New Roman" w:cs="Times New Roman"/>
        </w:rPr>
      </w:pPr>
      <w:r w:rsidRPr="00F80085">
        <w:rPr>
          <w:rFonts w:ascii="Times New Roman" w:hAnsi="Times New Roman" w:cs="Times New Roman"/>
        </w:rPr>
        <w:t xml:space="preserve">Notably, both the PMLA as well as the UAPA contain similar provisions, which mandate the intimation of the grounds of arrest to an accused. Under Section 19 of the PMLA, the Enforcement Directorate (ED) officer should not only have material with him giving him “reasons to believe” that a person is guilty of an offence under the </w:t>
      </w:r>
      <w:proofErr w:type="gramStart"/>
      <w:r w:rsidRPr="00F80085">
        <w:rPr>
          <w:rFonts w:ascii="Times New Roman" w:hAnsi="Times New Roman" w:cs="Times New Roman"/>
        </w:rPr>
        <w:t>law</w:t>
      </w:r>
      <w:proofErr w:type="gramEnd"/>
      <w:r w:rsidRPr="00F80085">
        <w:rPr>
          <w:rFonts w:ascii="Times New Roman" w:hAnsi="Times New Roman" w:cs="Times New Roman"/>
        </w:rPr>
        <w:t xml:space="preserve"> but such reasons should also be “recorded in writing before effecting arrest of any person.” Further, these written grounds of arrest must be communicated to the accused for a valid arrest to take place. This, according to the Supreme Court’s verdict in Pankaj Bansal, affords an opportunity to the arrested person to prove before a trial Court that there are grounds to believe that he/she is not guilty of such offence, to avail the relief of bail. Similarly, Sections 43A and 43B of the UAPA mandate the furnishing of the grounds of arrest to an accused at the earliest.</w:t>
      </w:r>
    </w:p>
    <w:p w14:paraId="6472C38D" w14:textId="79D34C92" w:rsidR="00F80085" w:rsidRPr="00F80085" w:rsidRDefault="00F80085" w:rsidP="00F80085">
      <w:pPr>
        <w:rPr>
          <w:rFonts w:ascii="Times New Roman" w:hAnsi="Times New Roman" w:cs="Times New Roman"/>
        </w:rPr>
      </w:pPr>
      <w:r w:rsidRPr="00F80085">
        <w:rPr>
          <w:rFonts w:ascii="Times New Roman" w:hAnsi="Times New Roman" w:cs="Times New Roman"/>
        </w:rPr>
        <w:t xml:space="preserve">Mr. Sibal had pointed out that the language of both the statutory provisions is </w:t>
      </w:r>
      <w:proofErr w:type="spellStart"/>
      <w:r w:rsidRPr="00F80085">
        <w:rPr>
          <w:rFonts w:ascii="Times New Roman" w:hAnsi="Times New Roman" w:cs="Times New Roman"/>
        </w:rPr>
        <w:t>pari</w:t>
      </w:r>
      <w:proofErr w:type="spellEnd"/>
      <w:r w:rsidRPr="00F80085">
        <w:rPr>
          <w:rFonts w:ascii="Times New Roman" w:hAnsi="Times New Roman" w:cs="Times New Roman"/>
        </w:rPr>
        <w:t xml:space="preserve"> </w:t>
      </w:r>
      <w:proofErr w:type="spellStart"/>
      <w:r w:rsidRPr="00F80085">
        <w:rPr>
          <w:rFonts w:ascii="Times New Roman" w:hAnsi="Times New Roman" w:cs="Times New Roman"/>
        </w:rPr>
        <w:t>materia</w:t>
      </w:r>
      <w:proofErr w:type="spellEnd"/>
      <w:r w:rsidRPr="00F80085">
        <w:rPr>
          <w:rFonts w:ascii="Times New Roman" w:hAnsi="Times New Roman" w:cs="Times New Roman"/>
        </w:rPr>
        <w:t xml:space="preserve"> (upon the same subject matter) and thus the law laid down in Pankaj Bansal squarely covers Mr. Purkayastha’s case.</w:t>
      </w:r>
    </w:p>
    <w:p w14:paraId="196D6273" w14:textId="3A2D6544" w:rsidR="00F80085" w:rsidRPr="00F80085" w:rsidRDefault="00F80085" w:rsidP="00F80085">
      <w:pPr>
        <w:rPr>
          <w:rFonts w:ascii="Times New Roman" w:hAnsi="Times New Roman" w:cs="Times New Roman"/>
        </w:rPr>
      </w:pPr>
      <w:r w:rsidRPr="00F80085">
        <w:rPr>
          <w:rFonts w:ascii="Times New Roman" w:hAnsi="Times New Roman" w:cs="Times New Roman"/>
        </w:rPr>
        <w:t>What was the Delhi High Court’s verdict?</w:t>
      </w:r>
    </w:p>
    <w:p w14:paraId="3DDD0694" w14:textId="7A92AEA7" w:rsidR="00F80085" w:rsidRPr="00F80085" w:rsidRDefault="00F80085" w:rsidP="00F80085">
      <w:pPr>
        <w:rPr>
          <w:rFonts w:ascii="Times New Roman" w:hAnsi="Times New Roman" w:cs="Times New Roman"/>
        </w:rPr>
      </w:pPr>
      <w:r w:rsidRPr="00F80085">
        <w:rPr>
          <w:rFonts w:ascii="Times New Roman" w:hAnsi="Times New Roman" w:cs="Times New Roman"/>
        </w:rPr>
        <w:t xml:space="preserve">In a verdict delivered on October 13, 2023, Justice Tushar Rao </w:t>
      </w:r>
      <w:proofErr w:type="spellStart"/>
      <w:r w:rsidRPr="00F80085">
        <w:rPr>
          <w:rFonts w:ascii="Times New Roman" w:hAnsi="Times New Roman" w:cs="Times New Roman"/>
        </w:rPr>
        <w:t>Gedela</w:t>
      </w:r>
      <w:proofErr w:type="spellEnd"/>
      <w:r w:rsidRPr="00F80085">
        <w:rPr>
          <w:rFonts w:ascii="Times New Roman" w:hAnsi="Times New Roman" w:cs="Times New Roman"/>
        </w:rPr>
        <w:t xml:space="preserve"> of the Delhi High Court agreed with the Delhi police that the ratio of Pankaj Bansal would not apply to the facts of Mr. Purkayastha’s case. He underscored that the verdict in Pankaj Bansal was delivered purely in relation to PMLA provisions and that it cannot “by any stretch of imagination, be made applicable, mutatis mutandis, to the cases arising under UAPA.”.</w:t>
      </w:r>
    </w:p>
    <w:p w14:paraId="6194E75C" w14:textId="68432B69" w:rsidR="00F80085" w:rsidRPr="00F80085" w:rsidRDefault="00F80085" w:rsidP="00F80085">
      <w:pPr>
        <w:rPr>
          <w:rFonts w:ascii="Times New Roman" w:hAnsi="Times New Roman" w:cs="Times New Roman"/>
        </w:rPr>
      </w:pPr>
      <w:r w:rsidRPr="00F80085">
        <w:rPr>
          <w:rFonts w:ascii="Times New Roman" w:hAnsi="Times New Roman" w:cs="Times New Roman"/>
        </w:rPr>
        <w:t xml:space="preserve">Justice </w:t>
      </w:r>
      <w:proofErr w:type="spellStart"/>
      <w:r w:rsidRPr="00F80085">
        <w:rPr>
          <w:rFonts w:ascii="Times New Roman" w:hAnsi="Times New Roman" w:cs="Times New Roman"/>
        </w:rPr>
        <w:t>Gedela</w:t>
      </w:r>
      <w:proofErr w:type="spellEnd"/>
      <w:r w:rsidRPr="00F80085">
        <w:rPr>
          <w:rFonts w:ascii="Times New Roman" w:hAnsi="Times New Roman" w:cs="Times New Roman"/>
        </w:rPr>
        <w:t xml:space="preserve"> also noted that the offences alleged in the </w:t>
      </w:r>
      <w:proofErr w:type="spellStart"/>
      <w:r w:rsidRPr="00F80085">
        <w:rPr>
          <w:rFonts w:ascii="Times New Roman" w:hAnsi="Times New Roman" w:cs="Times New Roman"/>
        </w:rPr>
        <w:t>NewsClick</w:t>
      </w:r>
      <w:proofErr w:type="spellEnd"/>
      <w:r w:rsidRPr="00F80085">
        <w:rPr>
          <w:rFonts w:ascii="Times New Roman" w:hAnsi="Times New Roman" w:cs="Times New Roman"/>
        </w:rPr>
        <w:t xml:space="preserve"> case directly impact “the stability, integrity, and sovereignty of the country” and bear significant national security implications. He further reproduced Solicitor General Tushar Mehta’s submission that the email exchanges between Mr. Purkayastha and other entities indicated an attempt to portray Jammu and Kashmir and Arunachal Pradesh as “disputed territories.”</w:t>
      </w:r>
    </w:p>
    <w:p w14:paraId="529A7643" w14:textId="73E546F7" w:rsidR="00F80085" w:rsidRPr="00F80085" w:rsidRDefault="00F80085" w:rsidP="00F80085">
      <w:pPr>
        <w:rPr>
          <w:rFonts w:ascii="Times New Roman" w:hAnsi="Times New Roman" w:cs="Times New Roman"/>
        </w:rPr>
      </w:pPr>
      <w:r w:rsidRPr="00F80085">
        <w:rPr>
          <w:rFonts w:ascii="Times New Roman" w:hAnsi="Times New Roman" w:cs="Times New Roman"/>
        </w:rPr>
        <w:lastRenderedPageBreak/>
        <w:t>However, the Court added that considering the stringent provisions of the UAPA, it would be advisable that the investigating agencies, henceforth, provide grounds of arrest in writing, after redacting what in their opinion would constitute “sensitive material.”</w:t>
      </w:r>
    </w:p>
    <w:p w14:paraId="48B21896" w14:textId="3DE05A2E" w:rsidR="00F80085" w:rsidRPr="00F80085" w:rsidRDefault="00F80085" w:rsidP="00F80085">
      <w:pPr>
        <w:rPr>
          <w:rFonts w:ascii="Times New Roman" w:hAnsi="Times New Roman" w:cs="Times New Roman"/>
        </w:rPr>
      </w:pPr>
      <w:r w:rsidRPr="00F80085">
        <w:rPr>
          <w:rFonts w:ascii="Times New Roman" w:hAnsi="Times New Roman" w:cs="Times New Roman"/>
        </w:rPr>
        <w:t>What about the Supreme Court?</w:t>
      </w:r>
    </w:p>
    <w:p w14:paraId="736614DF" w14:textId="77777777" w:rsidR="00F80085" w:rsidRPr="00F80085" w:rsidRDefault="00F80085" w:rsidP="00F80085">
      <w:pPr>
        <w:rPr>
          <w:rFonts w:ascii="Times New Roman" w:hAnsi="Times New Roman" w:cs="Times New Roman"/>
        </w:rPr>
      </w:pPr>
      <w:r w:rsidRPr="00F80085">
        <w:rPr>
          <w:rFonts w:ascii="Times New Roman" w:hAnsi="Times New Roman" w:cs="Times New Roman"/>
        </w:rPr>
        <w:t>The top Court ruled that there is “no significant difference” in the language employed in Section 19(1) of the PMLA and Section 43</w:t>
      </w:r>
      <w:proofErr w:type="gramStart"/>
      <w:r w:rsidRPr="00F80085">
        <w:rPr>
          <w:rFonts w:ascii="Times New Roman" w:hAnsi="Times New Roman" w:cs="Times New Roman"/>
        </w:rPr>
        <w:t>B(</w:t>
      </w:r>
      <w:proofErr w:type="gramEnd"/>
      <w:r w:rsidRPr="00F80085">
        <w:rPr>
          <w:rFonts w:ascii="Times New Roman" w:hAnsi="Times New Roman" w:cs="Times New Roman"/>
        </w:rPr>
        <w:t>1) of the UAPA which can support the Delhi Police’s contention that the law laid down in Pankaj Bansal should not be applied to an accused arrested under the UAPA.</w:t>
      </w:r>
    </w:p>
    <w:p w14:paraId="2E3B9BCF" w14:textId="77777777" w:rsidR="00F80085" w:rsidRPr="00F80085" w:rsidRDefault="00F80085" w:rsidP="00F80085">
      <w:pPr>
        <w:rPr>
          <w:rFonts w:ascii="Times New Roman" w:hAnsi="Times New Roman" w:cs="Times New Roman"/>
        </w:rPr>
      </w:pPr>
    </w:p>
    <w:p w14:paraId="6ED89860" w14:textId="62F078A4" w:rsidR="00F80085" w:rsidRPr="00F80085" w:rsidRDefault="00F80085" w:rsidP="00F80085">
      <w:pPr>
        <w:rPr>
          <w:rFonts w:ascii="Times New Roman" w:hAnsi="Times New Roman" w:cs="Times New Roman"/>
        </w:rPr>
      </w:pPr>
      <w:r w:rsidRPr="00F80085">
        <w:rPr>
          <w:rFonts w:ascii="Times New Roman" w:hAnsi="Times New Roman" w:cs="Times New Roman"/>
        </w:rPr>
        <w:t xml:space="preserve">“...The requirement to communicate the grounds of arrest is the same in both the statutes. As a matter of fact, both the provisions find their source in the constitutional safeguard provided under Article 22(1) of the Constitution of India,” it reasoned. </w:t>
      </w:r>
      <w:proofErr w:type="gramStart"/>
      <w:r w:rsidRPr="00F80085">
        <w:rPr>
          <w:rFonts w:ascii="Times New Roman" w:hAnsi="Times New Roman" w:cs="Times New Roman"/>
        </w:rPr>
        <w:t>Thus</w:t>
      </w:r>
      <w:proofErr w:type="gramEnd"/>
      <w:r w:rsidRPr="00F80085">
        <w:rPr>
          <w:rFonts w:ascii="Times New Roman" w:hAnsi="Times New Roman" w:cs="Times New Roman"/>
        </w:rPr>
        <w:t xml:space="preserve"> the judges emphasised that the “salutary and sacrosanct” requirement of informing the arrested person of the grounds of arrest in writing will henceforth apply to all UAPA cases as well. It will not suffice to convey them orally only. This, according to the Court, is the “only effective means” for the arrested person to consult his lawyer, oppose the police custody remand and seek bail.</w:t>
      </w:r>
    </w:p>
    <w:p w14:paraId="5833971B" w14:textId="3E5114ED" w:rsidR="00F80085" w:rsidRPr="00F80085" w:rsidRDefault="00F80085" w:rsidP="00F80085">
      <w:pPr>
        <w:rPr>
          <w:rFonts w:ascii="Times New Roman" w:hAnsi="Times New Roman" w:cs="Times New Roman"/>
        </w:rPr>
      </w:pPr>
      <w:r w:rsidRPr="00F80085">
        <w:rPr>
          <w:rFonts w:ascii="Times New Roman" w:hAnsi="Times New Roman" w:cs="Times New Roman"/>
        </w:rPr>
        <w:t xml:space="preserve">It further asserted that the mere fact that a charge sheet has been filed “would not validate the illegality and the unconstitutionality committed at the time of arresting the accused and the grant of initial police custody remand to the </w:t>
      </w:r>
      <w:proofErr w:type="gramStart"/>
      <w:r w:rsidRPr="00F80085">
        <w:rPr>
          <w:rFonts w:ascii="Times New Roman" w:hAnsi="Times New Roman" w:cs="Times New Roman"/>
        </w:rPr>
        <w:t>accused.“</w:t>
      </w:r>
      <w:proofErr w:type="gramEnd"/>
      <w:r w:rsidRPr="00F80085">
        <w:rPr>
          <w:rFonts w:ascii="Times New Roman" w:hAnsi="Times New Roman" w:cs="Times New Roman"/>
        </w:rPr>
        <w:t xml:space="preserve"> The Bench also differentiated between the meaning of the terms ‘reasons of arrest’ and ‘grounds of arrest’. While the former relates to general parameters based on which a person had to be arrested, the latter requires the police to list out specific facts necessitating the arrest of the individual concerned, so that he/she could effectively oppose the plea for remand or seek bail, it said.</w:t>
      </w:r>
    </w:p>
    <w:p w14:paraId="71DED680" w14:textId="479CB0C6" w:rsidR="00F80085" w:rsidRPr="00F80085" w:rsidRDefault="00F80085" w:rsidP="00F80085">
      <w:pPr>
        <w:rPr>
          <w:rFonts w:ascii="Times New Roman" w:hAnsi="Times New Roman" w:cs="Times New Roman"/>
        </w:rPr>
      </w:pPr>
      <w:r w:rsidRPr="00F80085">
        <w:rPr>
          <w:rFonts w:ascii="Times New Roman" w:hAnsi="Times New Roman" w:cs="Times New Roman"/>
        </w:rPr>
        <w:t xml:space="preserve">Notably, the judges expressed serious reservations that Mr. Purkayastha’s lawyer was not informed about the remand proceedings despite the Delhi police having access to his phone number. The Court further remarked that the “charade of informing” the </w:t>
      </w:r>
      <w:proofErr w:type="spellStart"/>
      <w:r w:rsidRPr="00F80085">
        <w:rPr>
          <w:rFonts w:ascii="Times New Roman" w:hAnsi="Times New Roman" w:cs="Times New Roman"/>
        </w:rPr>
        <w:t>NewsClick</w:t>
      </w:r>
      <w:proofErr w:type="spellEnd"/>
      <w:r w:rsidRPr="00F80085">
        <w:rPr>
          <w:rFonts w:ascii="Times New Roman" w:hAnsi="Times New Roman" w:cs="Times New Roman"/>
        </w:rPr>
        <w:t xml:space="preserve"> founder’s lawyer after the remand order had already been passed was an exercise in futility.</w:t>
      </w:r>
    </w:p>
    <w:p w14:paraId="512DB7E5" w14:textId="61366C40" w:rsidR="00F80085" w:rsidRPr="00F80085" w:rsidRDefault="00F80085" w:rsidP="00F80085">
      <w:pPr>
        <w:rPr>
          <w:rFonts w:ascii="Times New Roman" w:hAnsi="Times New Roman" w:cs="Times New Roman"/>
        </w:rPr>
      </w:pPr>
      <w:r w:rsidRPr="00F80085">
        <w:rPr>
          <w:rFonts w:ascii="Times New Roman" w:hAnsi="Times New Roman" w:cs="Times New Roman"/>
        </w:rPr>
        <w:t>The judges also pointed out that the two sentences inserted in the remand order to give the impression that Mr. Purkayastha’s lawyer Arshdeep Khurana was heard before its issuance was an afterthought. “A bare perusal of the remand order is enough to satisfy us that these two lines were subsequently inserted in the order because the script in which these two lines were written is much finer as compared to the remaining part of the order and moreover, these two lines give a clear indication of subsequent insertion,” the Bench underscored.</w:t>
      </w:r>
    </w:p>
    <w:p w14:paraId="02C5E4BF" w14:textId="7FE3C8A9" w:rsidR="00F80085" w:rsidRPr="00F80085" w:rsidRDefault="00F80085" w:rsidP="00F80085">
      <w:pPr>
        <w:rPr>
          <w:rFonts w:ascii="Times New Roman" w:hAnsi="Times New Roman" w:cs="Times New Roman"/>
        </w:rPr>
      </w:pPr>
      <w:r w:rsidRPr="00F80085">
        <w:rPr>
          <w:rFonts w:ascii="Times New Roman" w:hAnsi="Times New Roman" w:cs="Times New Roman"/>
        </w:rPr>
        <w:t>What happens next?</w:t>
      </w:r>
    </w:p>
    <w:p w14:paraId="7B283F74" w14:textId="6095ED6F" w:rsidR="00F80085" w:rsidRPr="00F80085" w:rsidRDefault="00F80085" w:rsidP="00F80085">
      <w:pPr>
        <w:rPr>
          <w:rFonts w:ascii="Times New Roman" w:hAnsi="Times New Roman" w:cs="Times New Roman"/>
        </w:rPr>
      </w:pPr>
      <w:r w:rsidRPr="00F80085">
        <w:rPr>
          <w:rFonts w:ascii="Times New Roman" w:hAnsi="Times New Roman" w:cs="Times New Roman"/>
        </w:rPr>
        <w:lastRenderedPageBreak/>
        <w:t>After the pronouncement of the verdict, Mr. Raju sought a clarification from the Bench as to whether the ruling would preclude the police from exercising its “correct powers of arrest” in the case in the future.</w:t>
      </w:r>
    </w:p>
    <w:p w14:paraId="10F613EF" w14:textId="52172EB7" w:rsidR="00F80085" w:rsidRPr="00F80085" w:rsidRDefault="00F80085" w:rsidP="00F80085">
      <w:pPr>
        <w:rPr>
          <w:rFonts w:ascii="Times New Roman" w:hAnsi="Times New Roman" w:cs="Times New Roman"/>
        </w:rPr>
      </w:pPr>
      <w:r w:rsidRPr="00F80085">
        <w:rPr>
          <w:rFonts w:ascii="Times New Roman" w:hAnsi="Times New Roman" w:cs="Times New Roman"/>
        </w:rPr>
        <w:t>In response, Justice Gavai said, “We have not said anything about that. Whatever you are permitted under the law, you can do.”</w:t>
      </w:r>
    </w:p>
    <w:sectPr w:rsidR="00F80085" w:rsidRPr="00F80085" w:rsidSect="00E65CC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33342" w14:textId="77777777" w:rsidR="00915807" w:rsidRDefault="00915807" w:rsidP="005C3C53">
      <w:pPr>
        <w:spacing w:after="0" w:line="240" w:lineRule="auto"/>
      </w:pPr>
      <w:r>
        <w:separator/>
      </w:r>
    </w:p>
  </w:endnote>
  <w:endnote w:type="continuationSeparator" w:id="0">
    <w:p w14:paraId="224D7524" w14:textId="77777777" w:rsidR="00915807" w:rsidRDefault="00915807" w:rsidP="005C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355" w14:textId="77777777" w:rsidR="005C3C53" w:rsidRDefault="005C3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9234E" w14:textId="77777777" w:rsidR="00E65CC8" w:rsidRDefault="00E65CC8" w:rsidP="00E65CC8">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082E1319" w14:textId="77777777" w:rsidR="005C3C53" w:rsidRDefault="005C3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9CC1" w14:textId="77777777" w:rsidR="005C3C53" w:rsidRDefault="005C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A14E9" w14:textId="77777777" w:rsidR="00915807" w:rsidRDefault="00915807" w:rsidP="005C3C53">
      <w:pPr>
        <w:spacing w:after="0" w:line="240" w:lineRule="auto"/>
      </w:pPr>
      <w:r>
        <w:separator/>
      </w:r>
    </w:p>
  </w:footnote>
  <w:footnote w:type="continuationSeparator" w:id="0">
    <w:p w14:paraId="6E5331BF" w14:textId="77777777" w:rsidR="00915807" w:rsidRDefault="00915807" w:rsidP="005C3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59E0" w14:textId="77777777" w:rsidR="005C3C53" w:rsidRDefault="005C3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F7F2" w14:textId="340F2F26" w:rsidR="005C3C53" w:rsidRDefault="005C3C53">
    <w:pPr>
      <w:pStyle w:val="Header"/>
    </w:pPr>
    <w:r w:rsidRPr="005C3C53">
      <w:rPr>
        <w:noProof/>
      </w:rPr>
      <w:drawing>
        <wp:inline distT="0" distB="0" distL="0" distR="0" wp14:anchorId="23EAD71F" wp14:editId="4C4B26F1">
          <wp:extent cx="5731510" cy="1729740"/>
          <wp:effectExtent l="0" t="0" r="2540" b="3810"/>
          <wp:docPr id="166305566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5566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A31A" w14:textId="77777777" w:rsidR="005C3C53" w:rsidRDefault="005C3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94"/>
    <w:rsid w:val="005C3C53"/>
    <w:rsid w:val="00683494"/>
    <w:rsid w:val="00915807"/>
    <w:rsid w:val="00CC2D0E"/>
    <w:rsid w:val="00E65CC8"/>
    <w:rsid w:val="00F800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96F"/>
  <w15:chartTrackingRefBased/>
  <w15:docId w15:val="{CBF4E1E2-9AD0-4F01-B662-E923863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494"/>
    <w:rPr>
      <w:rFonts w:eastAsiaTheme="majorEastAsia" w:cstheme="majorBidi"/>
      <w:color w:val="272727" w:themeColor="text1" w:themeTint="D8"/>
    </w:rPr>
  </w:style>
  <w:style w:type="paragraph" w:styleId="Title">
    <w:name w:val="Title"/>
    <w:basedOn w:val="Normal"/>
    <w:next w:val="Normal"/>
    <w:link w:val="TitleChar"/>
    <w:uiPriority w:val="10"/>
    <w:qFormat/>
    <w:rsid w:val="00683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494"/>
    <w:pPr>
      <w:spacing w:before="160"/>
      <w:jc w:val="center"/>
    </w:pPr>
    <w:rPr>
      <w:i/>
      <w:iCs/>
      <w:color w:val="404040" w:themeColor="text1" w:themeTint="BF"/>
    </w:rPr>
  </w:style>
  <w:style w:type="character" w:customStyle="1" w:styleId="QuoteChar">
    <w:name w:val="Quote Char"/>
    <w:basedOn w:val="DefaultParagraphFont"/>
    <w:link w:val="Quote"/>
    <w:uiPriority w:val="29"/>
    <w:rsid w:val="00683494"/>
    <w:rPr>
      <w:i/>
      <w:iCs/>
      <w:color w:val="404040" w:themeColor="text1" w:themeTint="BF"/>
    </w:rPr>
  </w:style>
  <w:style w:type="paragraph" w:styleId="ListParagraph">
    <w:name w:val="List Paragraph"/>
    <w:basedOn w:val="Normal"/>
    <w:uiPriority w:val="34"/>
    <w:qFormat/>
    <w:rsid w:val="00683494"/>
    <w:pPr>
      <w:ind w:left="720"/>
      <w:contextualSpacing/>
    </w:pPr>
  </w:style>
  <w:style w:type="character" w:styleId="IntenseEmphasis">
    <w:name w:val="Intense Emphasis"/>
    <w:basedOn w:val="DefaultParagraphFont"/>
    <w:uiPriority w:val="21"/>
    <w:qFormat/>
    <w:rsid w:val="00683494"/>
    <w:rPr>
      <w:i/>
      <w:iCs/>
      <w:color w:val="0F4761" w:themeColor="accent1" w:themeShade="BF"/>
    </w:rPr>
  </w:style>
  <w:style w:type="paragraph" w:styleId="IntenseQuote">
    <w:name w:val="Intense Quote"/>
    <w:basedOn w:val="Normal"/>
    <w:next w:val="Normal"/>
    <w:link w:val="IntenseQuoteChar"/>
    <w:uiPriority w:val="30"/>
    <w:qFormat/>
    <w:rsid w:val="00683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494"/>
    <w:rPr>
      <w:i/>
      <w:iCs/>
      <w:color w:val="0F4761" w:themeColor="accent1" w:themeShade="BF"/>
    </w:rPr>
  </w:style>
  <w:style w:type="character" w:styleId="IntenseReference">
    <w:name w:val="Intense Reference"/>
    <w:basedOn w:val="DefaultParagraphFont"/>
    <w:uiPriority w:val="32"/>
    <w:qFormat/>
    <w:rsid w:val="00683494"/>
    <w:rPr>
      <w:b/>
      <w:bCs/>
      <w:smallCaps/>
      <w:color w:val="0F4761" w:themeColor="accent1" w:themeShade="BF"/>
      <w:spacing w:val="5"/>
    </w:rPr>
  </w:style>
  <w:style w:type="paragraph" w:styleId="Header">
    <w:name w:val="header"/>
    <w:basedOn w:val="Normal"/>
    <w:link w:val="HeaderChar"/>
    <w:uiPriority w:val="99"/>
    <w:unhideWhenUsed/>
    <w:rsid w:val="005C3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C53"/>
  </w:style>
  <w:style w:type="paragraph" w:styleId="Footer">
    <w:name w:val="footer"/>
    <w:basedOn w:val="Normal"/>
    <w:link w:val="FooterChar"/>
    <w:uiPriority w:val="99"/>
    <w:unhideWhenUsed/>
    <w:rsid w:val="005C3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C53"/>
  </w:style>
  <w:style w:type="character" w:customStyle="1" w:styleId="15">
    <w:name w:val="15"/>
    <w:basedOn w:val="DefaultParagraphFont"/>
    <w:rsid w:val="00E65CC8"/>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246808">
      <w:bodyDiv w:val="1"/>
      <w:marLeft w:val="0"/>
      <w:marRight w:val="0"/>
      <w:marTop w:val="0"/>
      <w:marBottom w:val="0"/>
      <w:divBdr>
        <w:top w:val="none" w:sz="0" w:space="0" w:color="auto"/>
        <w:left w:val="none" w:sz="0" w:space="0" w:color="auto"/>
        <w:bottom w:val="none" w:sz="0" w:space="0" w:color="auto"/>
        <w:right w:val="none" w:sz="0" w:space="0" w:color="auto"/>
      </w:divBdr>
    </w:div>
    <w:div w:id="1721705340">
      <w:bodyDiv w:val="1"/>
      <w:marLeft w:val="0"/>
      <w:marRight w:val="0"/>
      <w:marTop w:val="0"/>
      <w:marBottom w:val="0"/>
      <w:divBdr>
        <w:top w:val="none" w:sz="0" w:space="0" w:color="auto"/>
        <w:left w:val="none" w:sz="0" w:space="0" w:color="auto"/>
        <w:bottom w:val="none" w:sz="0" w:space="0" w:color="auto"/>
        <w:right w:val="none" w:sz="0" w:space="0" w:color="auto"/>
      </w:divBdr>
      <w:divsChild>
        <w:div w:id="975064406">
          <w:marLeft w:val="0"/>
          <w:marRight w:val="0"/>
          <w:marTop w:val="0"/>
          <w:marBottom w:val="0"/>
          <w:divBdr>
            <w:top w:val="none" w:sz="0" w:space="0" w:color="auto"/>
            <w:left w:val="none" w:sz="0" w:space="0" w:color="auto"/>
            <w:bottom w:val="none" w:sz="0" w:space="0" w:color="auto"/>
            <w:right w:val="none" w:sz="0" w:space="0" w:color="auto"/>
          </w:divBdr>
        </w:div>
        <w:div w:id="2034379612">
          <w:marLeft w:val="0"/>
          <w:marRight w:val="0"/>
          <w:marTop w:val="0"/>
          <w:marBottom w:val="0"/>
          <w:divBdr>
            <w:top w:val="none" w:sz="0" w:space="0" w:color="auto"/>
            <w:left w:val="none" w:sz="0" w:space="0" w:color="auto"/>
            <w:bottom w:val="none" w:sz="0" w:space="0" w:color="auto"/>
            <w:right w:val="none" w:sz="0" w:space="0" w:color="auto"/>
          </w:divBdr>
        </w:div>
        <w:div w:id="1930771583">
          <w:marLeft w:val="0"/>
          <w:marRight w:val="0"/>
          <w:marTop w:val="0"/>
          <w:marBottom w:val="0"/>
          <w:divBdr>
            <w:top w:val="none" w:sz="0" w:space="0" w:color="auto"/>
            <w:left w:val="none" w:sz="0" w:space="0" w:color="auto"/>
            <w:bottom w:val="none" w:sz="0" w:space="0" w:color="auto"/>
            <w:right w:val="none" w:sz="0" w:space="0" w:color="auto"/>
          </w:divBdr>
        </w:div>
        <w:div w:id="1712807211">
          <w:marLeft w:val="0"/>
          <w:marRight w:val="0"/>
          <w:marTop w:val="0"/>
          <w:marBottom w:val="0"/>
          <w:divBdr>
            <w:top w:val="none" w:sz="0" w:space="0" w:color="auto"/>
            <w:left w:val="none" w:sz="0" w:space="0" w:color="auto"/>
            <w:bottom w:val="none" w:sz="0" w:space="0" w:color="auto"/>
            <w:right w:val="none" w:sz="0" w:space="0" w:color="auto"/>
          </w:divBdr>
        </w:div>
        <w:div w:id="1757285369">
          <w:marLeft w:val="0"/>
          <w:marRight w:val="0"/>
          <w:marTop w:val="0"/>
          <w:marBottom w:val="0"/>
          <w:divBdr>
            <w:top w:val="none" w:sz="0" w:space="0" w:color="auto"/>
            <w:left w:val="none" w:sz="0" w:space="0" w:color="auto"/>
            <w:bottom w:val="none" w:sz="0" w:space="0" w:color="auto"/>
            <w:right w:val="none" w:sz="0" w:space="0" w:color="auto"/>
          </w:divBdr>
        </w:div>
      </w:divsChild>
    </w:div>
    <w:div w:id="18868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2024-05-20T07:07:00Z</dcterms:created>
  <dcterms:modified xsi:type="dcterms:W3CDTF">2024-05-20T08:05:00Z</dcterms:modified>
</cp:coreProperties>
</file>