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0B34C" w14:textId="293F5765" w:rsidR="006147BE" w:rsidRDefault="006147BE">
      <w:pPr>
        <w:rPr>
          <w:rFonts w:ascii="Times New Roman" w:hAnsi="Times New Roman" w:cs="Times New Roman"/>
          <w:b/>
          <w:bCs/>
          <w:sz w:val="32"/>
          <w:szCs w:val="32"/>
        </w:rPr>
      </w:pPr>
      <w:r w:rsidRPr="00D72D06">
        <w:rPr>
          <w:rFonts w:ascii="Times New Roman" w:hAnsi="Times New Roman" w:cs="Times New Roman"/>
          <w:b/>
          <w:bCs/>
          <w:sz w:val="32"/>
          <w:szCs w:val="32"/>
        </w:rPr>
        <w:t>India’s population data and a tale of projections and predictions</w:t>
      </w:r>
    </w:p>
    <w:p w14:paraId="03DA251C" w14:textId="37F1BD3F" w:rsidR="00D72D06" w:rsidRPr="00D72D06" w:rsidRDefault="00D72D06" w:rsidP="00D72D06">
      <w:pPr>
        <w:rPr>
          <w:rFonts w:ascii="Times New Roman" w:hAnsi="Times New Roman" w:cs="Times New Roman"/>
        </w:rPr>
      </w:pPr>
      <w:r w:rsidRPr="00D72D06">
        <w:rPr>
          <w:rFonts w:ascii="Times New Roman" w:hAnsi="Times New Roman" w:cs="Times New Roman"/>
        </w:rPr>
        <w:t xml:space="preserve">In this article, dated August 12, 2020, </w:t>
      </w:r>
      <w:proofErr w:type="spellStart"/>
      <w:r w:rsidRPr="00D72D06">
        <w:rPr>
          <w:rFonts w:ascii="Times New Roman" w:hAnsi="Times New Roman" w:cs="Times New Roman"/>
        </w:rPr>
        <w:t>Sonalde</w:t>
      </w:r>
      <w:proofErr w:type="spellEnd"/>
      <w:r w:rsidRPr="00D72D06">
        <w:rPr>
          <w:rFonts w:ascii="Times New Roman" w:hAnsi="Times New Roman" w:cs="Times New Roman"/>
        </w:rPr>
        <w:t xml:space="preserve"> Desai analyses projections about India’s demographic future.</w:t>
      </w:r>
    </w:p>
    <w:p w14:paraId="2151EACE" w14:textId="4AA85C82" w:rsidR="00D72D06" w:rsidRPr="00D72D06" w:rsidRDefault="00D72D06" w:rsidP="00D72D06">
      <w:pPr>
        <w:rPr>
          <w:rFonts w:ascii="Times New Roman" w:hAnsi="Times New Roman" w:cs="Times New Roman"/>
        </w:rPr>
      </w:pPr>
      <w:r w:rsidRPr="00D72D06">
        <w:rPr>
          <w:rFonts w:ascii="Times New Roman" w:hAnsi="Times New Roman" w:cs="Times New Roman"/>
        </w:rPr>
        <w:t>A new study, published in the highly regarded journal, The Lancet, and prepared by the Seattle-based Institute for Health Metrics and Evaluation (IHME), has shaken up the world of population policy. It argues that while India is destined to be the largest country in the world, its population will peak by mid-century. And as the 21st century closes, its ultimate population will be far smaller than anyone could have anticipated, about 1.09 billion instead of approximately 1.35 billion today. It could even be as low as 724 million.</w:t>
      </w:r>
    </w:p>
    <w:p w14:paraId="2EA524F4" w14:textId="106D42CD" w:rsidR="00D72D06" w:rsidRPr="00D72D06" w:rsidRDefault="00D72D06" w:rsidP="00D72D06">
      <w:pPr>
        <w:rPr>
          <w:rFonts w:ascii="Times New Roman" w:hAnsi="Times New Roman" w:cs="Times New Roman"/>
        </w:rPr>
      </w:pPr>
      <w:r w:rsidRPr="00D72D06">
        <w:rPr>
          <w:rFonts w:ascii="Times New Roman" w:hAnsi="Times New Roman" w:cs="Times New Roman"/>
        </w:rPr>
        <w:t xml:space="preserve">Readers who follow COVID-19 projections will remember that in March 2020, the IHME projected U.S. deaths from COVID-19 to be around 81,000 by August. Deaths in the U.S. today </w:t>
      </w:r>
      <w:proofErr w:type="gramStart"/>
      <w:r w:rsidRPr="00D72D06">
        <w:rPr>
          <w:rFonts w:ascii="Times New Roman" w:hAnsi="Times New Roman" w:cs="Times New Roman"/>
        </w:rPr>
        <w:t>are</w:t>
      </w:r>
      <w:proofErr w:type="gramEnd"/>
      <w:r w:rsidRPr="00D72D06">
        <w:rPr>
          <w:rFonts w:ascii="Times New Roman" w:hAnsi="Times New Roman" w:cs="Times New Roman"/>
        </w:rPr>
        <w:t xml:space="preserve"> more than twice that number. The underlying assumptions for the initial model were not borne out. The IHME population projections are also subject to underlying assumptions that deserve </w:t>
      </w:r>
      <w:proofErr w:type="gramStart"/>
      <w:r w:rsidRPr="00D72D06">
        <w:rPr>
          <w:rFonts w:ascii="Times New Roman" w:hAnsi="Times New Roman" w:cs="Times New Roman"/>
        </w:rPr>
        <w:t>careful scrutiny</w:t>
      </w:r>
      <w:proofErr w:type="gramEnd"/>
      <w:r w:rsidRPr="00D72D06">
        <w:rPr>
          <w:rFonts w:ascii="Times New Roman" w:hAnsi="Times New Roman" w:cs="Times New Roman"/>
        </w:rPr>
        <w:t>. They predict that by the year 2100, on average, Indian women will have 1.29 children. Since each woman must have two children to replace herself and her husband, this will result in a sharp population decline. Contrast this predicted fertility rate of 1.29 for India with the projected cohort fertility of 1.53 for the United States and 1.78 for France in the same model. It is difficult to believe that Indian parents could be less committed to childbearing than American or French parents.</w:t>
      </w:r>
    </w:p>
    <w:p w14:paraId="38D288F1" w14:textId="686BF39A" w:rsidR="00D72D06" w:rsidRPr="00D72D06" w:rsidRDefault="00D72D06" w:rsidP="00D72D06">
      <w:pPr>
        <w:rPr>
          <w:rFonts w:ascii="Times New Roman" w:hAnsi="Times New Roman" w:cs="Times New Roman"/>
        </w:rPr>
      </w:pPr>
      <w:r w:rsidRPr="00D72D06">
        <w:rPr>
          <w:rFonts w:ascii="Times New Roman" w:hAnsi="Times New Roman" w:cs="Times New Roman"/>
        </w:rPr>
        <w:t xml:space="preserve">Until 2050, the IHME projections are almost identical to </w:t>
      </w:r>
      <w:proofErr w:type="gramStart"/>
      <w:r w:rsidRPr="00D72D06">
        <w:rPr>
          <w:rFonts w:ascii="Times New Roman" w:hAnsi="Times New Roman" w:cs="Times New Roman"/>
        </w:rPr>
        <w:t>widely-used</w:t>
      </w:r>
      <w:proofErr w:type="gramEnd"/>
      <w:r w:rsidRPr="00D72D06">
        <w:rPr>
          <w:rFonts w:ascii="Times New Roman" w:hAnsi="Times New Roman" w:cs="Times New Roman"/>
        </w:rPr>
        <w:t xml:space="preserve"> United Nations projections. The UN projects that India’s population will be 1.64 billion by 2050, the IHME projects 1.61 billion by 2048. It is only in the second half of the century that the two projections diverge with the UN predicting a population of 1.45 billion by 2100, and the IHME, 1.09 billion.</w:t>
      </w:r>
    </w:p>
    <w:p w14:paraId="450D87F2" w14:textId="2B2292F1" w:rsidR="00D72D06" w:rsidRPr="00D72D06" w:rsidRDefault="00D72D06" w:rsidP="00D72D06">
      <w:pPr>
        <w:rPr>
          <w:rFonts w:ascii="Times New Roman" w:hAnsi="Times New Roman" w:cs="Times New Roman"/>
        </w:rPr>
      </w:pPr>
      <w:r w:rsidRPr="00D72D06">
        <w:rPr>
          <w:rFonts w:ascii="Times New Roman" w:hAnsi="Times New Roman" w:cs="Times New Roman"/>
        </w:rPr>
        <w:t>Part of this divergence may come from IHME model’s excessive reliance on data regarding current contraceptive use in the National Family Health Survey (NFHS) and potential for increasing contraceptive use. Research at the National Council of Applied Economic Research (NCAER) National Data Innovation Centre by Santanu Pramanik and colleagues shows that contraceptive use in the NFHS is poorly estimated, and as a result, unmet need for contraception may be lower than that estimated by the IHME model, generating implausibly low fertility projections for 2100.</w:t>
      </w:r>
    </w:p>
    <w:p w14:paraId="364B26BF" w14:textId="63FF6B07" w:rsidR="00D72D06" w:rsidRPr="00F55022" w:rsidRDefault="00D72D06" w:rsidP="00D72D06">
      <w:pPr>
        <w:rPr>
          <w:rFonts w:ascii="Times New Roman" w:hAnsi="Times New Roman" w:cs="Times New Roman"/>
          <w:b/>
          <w:bCs/>
        </w:rPr>
      </w:pPr>
      <w:r w:rsidRPr="00F55022">
        <w:rPr>
          <w:rFonts w:ascii="Times New Roman" w:hAnsi="Times New Roman" w:cs="Times New Roman"/>
          <w:b/>
          <w:bCs/>
        </w:rPr>
        <w:t>Fertility decline</w:t>
      </w:r>
    </w:p>
    <w:p w14:paraId="185C0009" w14:textId="762601DE" w:rsidR="00D72D06" w:rsidRPr="00D72D06" w:rsidRDefault="00D72D06" w:rsidP="00D72D06">
      <w:pPr>
        <w:rPr>
          <w:rFonts w:ascii="Times New Roman" w:hAnsi="Times New Roman" w:cs="Times New Roman"/>
        </w:rPr>
      </w:pPr>
      <w:r w:rsidRPr="00D72D06">
        <w:rPr>
          <w:rFonts w:ascii="Times New Roman" w:hAnsi="Times New Roman" w:cs="Times New Roman"/>
        </w:rPr>
        <w:lastRenderedPageBreak/>
        <w:t>Regardless of whether we subscribe to the UN’s projections, or the IHME projections, India’s demographic future contains a peaking and subsequently declining population driven by a sharp reduction in fertility. In the 1950s, India’s Total fertility rate (TFR) was nearly six children per woman; today it is 2.2. Ironically, the massive push for family planning coupled with forced sterilisation during the Emergency barely led to a 17% decline in TFR from 5.9 in 1960 to 4.9 in 1980. However, between 1992 and 2015, it had fallen by 35% from 3.4 to 2.2.</w:t>
      </w:r>
    </w:p>
    <w:p w14:paraId="14BD253B" w14:textId="50EB83A4" w:rsidR="00D72D06" w:rsidRPr="00D72D06" w:rsidRDefault="00D72D06" w:rsidP="00D72D06">
      <w:pPr>
        <w:rPr>
          <w:rFonts w:ascii="Times New Roman" w:hAnsi="Times New Roman" w:cs="Times New Roman"/>
        </w:rPr>
      </w:pPr>
      <w:r w:rsidRPr="00D72D06">
        <w:rPr>
          <w:rFonts w:ascii="Times New Roman" w:hAnsi="Times New Roman" w:cs="Times New Roman"/>
        </w:rPr>
        <w:t xml:space="preserve">What happened to accelerate fertility decline to a level where 18 States and Union Territories have a TFR below 2, the replacement level? One might attribute it to the success of the family planning </w:t>
      </w:r>
      <w:proofErr w:type="gramStart"/>
      <w:r w:rsidRPr="00D72D06">
        <w:rPr>
          <w:rFonts w:ascii="Times New Roman" w:hAnsi="Times New Roman" w:cs="Times New Roman"/>
        </w:rPr>
        <w:t>programme</w:t>
      </w:r>
      <w:proofErr w:type="gramEnd"/>
      <w:r w:rsidRPr="00D72D06">
        <w:rPr>
          <w:rFonts w:ascii="Times New Roman" w:hAnsi="Times New Roman" w:cs="Times New Roman"/>
        </w:rPr>
        <w:t xml:space="preserve"> but family planning has long lost its primacy in the Indian policy discourse. Between 1975 and 1994, family planning workers had targets they were expected to meet regarding sterilisations, condom distribution and intrauterine device (IUD) insertion. Often these targets led to explicit or implicit coercion. Following the Cairo conference on Population and Development in 1994, these targets were abandoned.</w:t>
      </w:r>
    </w:p>
    <w:p w14:paraId="2BC231C9" w14:textId="48251034" w:rsidR="00D72D06" w:rsidRPr="00D72D06" w:rsidRDefault="00D72D06" w:rsidP="00D72D06">
      <w:pPr>
        <w:rPr>
          <w:rFonts w:ascii="Times New Roman" w:hAnsi="Times New Roman" w:cs="Times New Roman"/>
        </w:rPr>
      </w:pPr>
      <w:r w:rsidRPr="00D72D06">
        <w:rPr>
          <w:rFonts w:ascii="Times New Roman" w:hAnsi="Times New Roman" w:cs="Times New Roman"/>
        </w:rPr>
        <w:t xml:space="preserve">If carrots have been dropped, the stick of policies designed to punish people with large families </w:t>
      </w:r>
      <w:proofErr w:type="gramStart"/>
      <w:r w:rsidRPr="00D72D06">
        <w:rPr>
          <w:rFonts w:ascii="Times New Roman" w:hAnsi="Times New Roman" w:cs="Times New Roman"/>
        </w:rPr>
        <w:t>has</w:t>
      </w:r>
      <w:proofErr w:type="gramEnd"/>
      <w:r w:rsidRPr="00D72D06">
        <w:rPr>
          <w:rFonts w:ascii="Times New Roman" w:hAnsi="Times New Roman" w:cs="Times New Roman"/>
        </w:rPr>
        <w:t xml:space="preserve"> been largely ineffective. Punitive policies include denial of maternity leave for third and subsequent births, limiting benefits of maternity schemes and ineligibility to contest in local body elections for individuals with large families. However, as Nirmala Buch, former Chief Secretary of Madhya Pradesh, wrote, these policies were mostly ignored in practice.</w:t>
      </w:r>
    </w:p>
    <w:p w14:paraId="1F908504" w14:textId="4C4D2F86" w:rsidR="00D72D06" w:rsidRPr="00F55022" w:rsidRDefault="00D72D06" w:rsidP="00D72D06">
      <w:pPr>
        <w:rPr>
          <w:rFonts w:ascii="Times New Roman" w:hAnsi="Times New Roman" w:cs="Times New Roman"/>
          <w:b/>
          <w:bCs/>
        </w:rPr>
      </w:pPr>
      <w:r w:rsidRPr="00F55022">
        <w:rPr>
          <w:rFonts w:ascii="Times New Roman" w:hAnsi="Times New Roman" w:cs="Times New Roman"/>
          <w:b/>
          <w:bCs/>
        </w:rPr>
        <w:t>Aspirational revolution</w:t>
      </w:r>
    </w:p>
    <w:p w14:paraId="1F3E3664" w14:textId="7A272F44" w:rsidR="00D72D06" w:rsidRPr="00D72D06" w:rsidRDefault="00D72D06" w:rsidP="00D72D06">
      <w:pPr>
        <w:rPr>
          <w:rFonts w:ascii="Times New Roman" w:hAnsi="Times New Roman" w:cs="Times New Roman"/>
        </w:rPr>
      </w:pPr>
      <w:r w:rsidRPr="00D72D06">
        <w:rPr>
          <w:rFonts w:ascii="Times New Roman" w:hAnsi="Times New Roman" w:cs="Times New Roman"/>
        </w:rPr>
        <w:t>If public policies to encourage the small family norm or to provide contraception have been lackadaisical, what led couples to abandon the ideal of large families? It seems highly probable that the socioeconomic transformation of India since the 1990s has played an important role. Over this period, agriculture became an increasingly smaller part of the Indian economy, school and college enrolment grew sharply and individuals lucky enough to find a job in government, multinationals or software services companies reaped tremendous financial benefits. Not surprisingly, parents began to rethink their family-building strategies. Where farmers used to see more workers when they saw their children, the new aspirational parents see enrolment in coaching classes as a ticket to success.</w:t>
      </w:r>
    </w:p>
    <w:p w14:paraId="542EF85D" w14:textId="3C4C30B0" w:rsidR="00D72D06" w:rsidRPr="00D72D06" w:rsidRDefault="00D72D06" w:rsidP="00D72D06">
      <w:pPr>
        <w:rPr>
          <w:rFonts w:ascii="Times New Roman" w:hAnsi="Times New Roman" w:cs="Times New Roman"/>
        </w:rPr>
      </w:pPr>
      <w:r w:rsidRPr="00D72D06">
        <w:rPr>
          <w:rFonts w:ascii="Times New Roman" w:hAnsi="Times New Roman" w:cs="Times New Roman"/>
        </w:rPr>
        <w:t xml:space="preserve">The literature on fertility decline in western countries attributes the decline in fertility to retreat from the family; Indian parents seem to demonstrate increased rather than decreased commitment to family by reducing the number of children and investing more in each child. My research with demographer Alaka Basu at Cornell University compares families of different size at the same income level and finds that small and large families do not differ in </w:t>
      </w:r>
      <w:r w:rsidRPr="00D72D06">
        <w:rPr>
          <w:rFonts w:ascii="Times New Roman" w:hAnsi="Times New Roman" w:cs="Times New Roman"/>
        </w:rPr>
        <w:lastRenderedPageBreak/>
        <w:t>their leisure activities, women’s participation in the workforce or how many material goods they purchase. However, smaller families invest more money in their children by sending them to private schools and coaching classes. It is not aspirations for self but that for children that seems to drive fertility decline.</w:t>
      </w:r>
    </w:p>
    <w:p w14:paraId="3CA5BDAD" w14:textId="6206DCA9" w:rsidR="00D72D06" w:rsidRPr="00F55022" w:rsidRDefault="00D72D06" w:rsidP="00D72D06">
      <w:pPr>
        <w:rPr>
          <w:rFonts w:ascii="Times New Roman" w:hAnsi="Times New Roman" w:cs="Times New Roman"/>
          <w:b/>
          <w:bCs/>
        </w:rPr>
      </w:pPr>
      <w:r w:rsidRPr="00F55022">
        <w:rPr>
          <w:rFonts w:ascii="Times New Roman" w:hAnsi="Times New Roman" w:cs="Times New Roman"/>
          <w:b/>
          <w:bCs/>
        </w:rPr>
        <w:t>In language of the past</w:t>
      </w:r>
    </w:p>
    <w:p w14:paraId="35DB952A" w14:textId="496926EB" w:rsidR="00D72D06" w:rsidRPr="00D72D06" w:rsidRDefault="00D72D06" w:rsidP="00D72D06">
      <w:pPr>
        <w:rPr>
          <w:rFonts w:ascii="Times New Roman" w:hAnsi="Times New Roman" w:cs="Times New Roman"/>
        </w:rPr>
      </w:pPr>
      <w:r w:rsidRPr="00D72D06">
        <w:rPr>
          <w:rFonts w:ascii="Times New Roman" w:hAnsi="Times New Roman" w:cs="Times New Roman"/>
        </w:rPr>
        <w:t>Ironically, even in the face of this sharp fertility decline among all segments of Indian society, the public discourse is still rooted in the language of the 1970s and on supposedly high fertility rate, particularly in some areas such as Uttar Pradesh and Bihar or among some groups such as women with low levels of education or Muslims. This periodically results in politicians proposing remedies that would force these ostensibly ignorant or uncaring parents to have fewer children.</w:t>
      </w:r>
    </w:p>
    <w:p w14:paraId="43354972" w14:textId="43F63C0E" w:rsidR="00D72D06" w:rsidRPr="00D72D06" w:rsidRDefault="00D72D06" w:rsidP="00D72D06">
      <w:pPr>
        <w:rPr>
          <w:rFonts w:ascii="Times New Roman" w:hAnsi="Times New Roman" w:cs="Times New Roman"/>
        </w:rPr>
      </w:pPr>
      <w:r w:rsidRPr="00D72D06">
        <w:rPr>
          <w:rFonts w:ascii="Times New Roman" w:hAnsi="Times New Roman" w:cs="Times New Roman"/>
        </w:rPr>
        <w:t>Demographic data suggest that the aspirational revolution is already under way. What we need to hasten the fertility decline is to ensure that the health and family welfare system is up to this challenge and provides contraception and sexual and reproductive health services that allow individuals to have only as many children as they want.</w:t>
      </w:r>
    </w:p>
    <w:sectPr w:rsidR="00D72D06" w:rsidRPr="00D72D06" w:rsidSect="007B654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7E2D8" w14:textId="77777777" w:rsidR="00F56A96" w:rsidRDefault="00F56A96" w:rsidP="006F6144">
      <w:pPr>
        <w:spacing w:after="0" w:line="240" w:lineRule="auto"/>
      </w:pPr>
      <w:r>
        <w:separator/>
      </w:r>
    </w:p>
  </w:endnote>
  <w:endnote w:type="continuationSeparator" w:id="0">
    <w:p w14:paraId="5F73C277" w14:textId="77777777" w:rsidR="00F56A96" w:rsidRDefault="00F56A96" w:rsidP="006F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9AEA9" w14:textId="77777777" w:rsidR="006F6144" w:rsidRDefault="006F6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ED81" w14:textId="77777777" w:rsidR="007B6546" w:rsidRDefault="007B6546" w:rsidP="007B6546">
    <w:pPr>
      <w:rPr>
        <w:rStyle w:val="16"/>
        <w:rFonts w:ascii="Lucida Handwriting" w:eastAsia="HYPMokGak-Bold" w:hAnsi="Lucida Handwriting"/>
        <w:b/>
        <w:bCs/>
        <w:sz w:val="32"/>
        <w:szCs w:val="32"/>
      </w:rPr>
    </w:pPr>
  </w:p>
  <w:p w14:paraId="5DC64454" w14:textId="77777777" w:rsidR="007B6546" w:rsidRDefault="007B6546" w:rsidP="007B6546">
    <w:pPr>
      <w:rPr>
        <w:color w:val="7030A0"/>
      </w:rPr>
    </w:pPr>
    <w:r>
      <w:rPr>
        <w:rStyle w:val="16"/>
        <w:rFonts w:ascii="Lucida Handwriting" w:eastAsia="HYPMokGak-Bold" w:hAnsi="Lucida Handwriting"/>
        <w:b/>
        <w:bCs/>
        <w:sz w:val="32"/>
        <w:szCs w:val="32"/>
      </w:rPr>
      <w:t xml:space="preserve"> </w:t>
    </w:r>
    <w:r>
      <w:rPr>
        <w:rStyle w:val="15"/>
        <w:rFonts w:ascii="Lucida Handwriting" w:eastAsia="HYPMokGak-Bold" w:hAnsi="Lucida Handwriting"/>
        <w:b/>
        <w:bCs/>
        <w:color w:val="7030A0"/>
        <w:sz w:val="32"/>
        <w:szCs w:val="32"/>
      </w:rPr>
      <w:t xml:space="preserve">1-3-183/40/78, Gandhi Nagar Road, SBI colony, </w:t>
    </w:r>
    <w:proofErr w:type="spellStart"/>
    <w:r>
      <w:rPr>
        <w:rStyle w:val="15"/>
        <w:rFonts w:ascii="Lucida Handwriting" w:eastAsia="HYPMokGak-Bold" w:hAnsi="Lucida Handwriting"/>
        <w:b/>
        <w:bCs/>
        <w:color w:val="7030A0"/>
        <w:sz w:val="32"/>
        <w:szCs w:val="32"/>
      </w:rPr>
      <w:t>Kavadiguda</w:t>
    </w:r>
    <w:proofErr w:type="spellEnd"/>
    <w:r>
      <w:rPr>
        <w:rStyle w:val="15"/>
        <w:rFonts w:ascii="Lucida Handwriting" w:eastAsia="HYPMokGak-Bold" w:hAnsi="Lucida Handwriting"/>
        <w:b/>
        <w:bCs/>
        <w:color w:val="7030A0"/>
        <w:sz w:val="32"/>
        <w:szCs w:val="32"/>
      </w:rPr>
      <w:t xml:space="preserve">, </w:t>
    </w:r>
    <w:proofErr w:type="gramStart"/>
    <w:r>
      <w:rPr>
        <w:rStyle w:val="15"/>
        <w:rFonts w:ascii="Lucida Handwriting" w:eastAsia="HYPMokGak-Bold" w:hAnsi="Lucida Handwriting"/>
        <w:b/>
        <w:bCs/>
        <w:color w:val="7030A0"/>
        <w:sz w:val="32"/>
        <w:szCs w:val="32"/>
      </w:rPr>
      <w:t>Hyderabad,500080,:</w:t>
    </w:r>
    <w:proofErr w:type="gramEnd"/>
    <w:r>
      <w:rPr>
        <w:rStyle w:val="15"/>
        <w:rFonts w:ascii="Lucida Handwriting" w:eastAsia="HYPMokGak-Bold" w:hAnsi="Lucida Handwriting"/>
        <w:b/>
        <w:bCs/>
        <w:color w:val="7030A0"/>
        <w:sz w:val="32"/>
        <w:szCs w:val="32"/>
      </w:rPr>
      <w:t xml:space="preserve"> {Contact number 9160571483}</w:t>
    </w:r>
  </w:p>
  <w:p w14:paraId="7652A444" w14:textId="77777777" w:rsidR="006F6144" w:rsidRPr="007B6546" w:rsidRDefault="006F6144" w:rsidP="007B65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D28BD" w14:textId="77777777" w:rsidR="006F6144" w:rsidRDefault="006F6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54594" w14:textId="77777777" w:rsidR="00F56A96" w:rsidRDefault="00F56A96" w:rsidP="006F6144">
      <w:pPr>
        <w:spacing w:after="0" w:line="240" w:lineRule="auto"/>
      </w:pPr>
      <w:r>
        <w:separator/>
      </w:r>
    </w:p>
  </w:footnote>
  <w:footnote w:type="continuationSeparator" w:id="0">
    <w:p w14:paraId="2551F5B3" w14:textId="77777777" w:rsidR="00F56A96" w:rsidRDefault="00F56A96" w:rsidP="006F6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E623C" w14:textId="77777777" w:rsidR="006F6144" w:rsidRDefault="006F6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55E82" w14:textId="2896F057" w:rsidR="006F6144" w:rsidRDefault="006F6144">
    <w:pPr>
      <w:pStyle w:val="Header"/>
    </w:pPr>
    <w:r w:rsidRPr="006F6144">
      <w:rPr>
        <w:noProof/>
      </w:rPr>
      <w:drawing>
        <wp:inline distT="0" distB="0" distL="0" distR="0" wp14:anchorId="1F459589" wp14:editId="3E527CFE">
          <wp:extent cx="5731510" cy="1732915"/>
          <wp:effectExtent l="0" t="0" r="2540" b="635"/>
          <wp:docPr id="727142423"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42423"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29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15F5F" w14:textId="77777777" w:rsidR="006F6144" w:rsidRDefault="006F61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BE"/>
    <w:rsid w:val="006147BE"/>
    <w:rsid w:val="006F6144"/>
    <w:rsid w:val="007B6546"/>
    <w:rsid w:val="00D72D06"/>
    <w:rsid w:val="00E37BF8"/>
    <w:rsid w:val="00F55022"/>
    <w:rsid w:val="00F56A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47F6"/>
  <w15:chartTrackingRefBased/>
  <w15:docId w15:val="{90A84E28-0DCA-4BFA-87E2-D5402E44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7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7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7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7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7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7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7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7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7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7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7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7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7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7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7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7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7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7BE"/>
    <w:rPr>
      <w:rFonts w:eastAsiaTheme="majorEastAsia" w:cstheme="majorBidi"/>
      <w:color w:val="272727" w:themeColor="text1" w:themeTint="D8"/>
    </w:rPr>
  </w:style>
  <w:style w:type="paragraph" w:styleId="Title">
    <w:name w:val="Title"/>
    <w:basedOn w:val="Normal"/>
    <w:next w:val="Normal"/>
    <w:link w:val="TitleChar"/>
    <w:uiPriority w:val="10"/>
    <w:qFormat/>
    <w:rsid w:val="006147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7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7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7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7BE"/>
    <w:pPr>
      <w:spacing w:before="160"/>
      <w:jc w:val="center"/>
    </w:pPr>
    <w:rPr>
      <w:i/>
      <w:iCs/>
      <w:color w:val="404040" w:themeColor="text1" w:themeTint="BF"/>
    </w:rPr>
  </w:style>
  <w:style w:type="character" w:customStyle="1" w:styleId="QuoteChar">
    <w:name w:val="Quote Char"/>
    <w:basedOn w:val="DefaultParagraphFont"/>
    <w:link w:val="Quote"/>
    <w:uiPriority w:val="29"/>
    <w:rsid w:val="006147BE"/>
    <w:rPr>
      <w:i/>
      <w:iCs/>
      <w:color w:val="404040" w:themeColor="text1" w:themeTint="BF"/>
    </w:rPr>
  </w:style>
  <w:style w:type="paragraph" w:styleId="ListParagraph">
    <w:name w:val="List Paragraph"/>
    <w:basedOn w:val="Normal"/>
    <w:uiPriority w:val="34"/>
    <w:qFormat/>
    <w:rsid w:val="006147BE"/>
    <w:pPr>
      <w:ind w:left="720"/>
      <w:contextualSpacing/>
    </w:pPr>
  </w:style>
  <w:style w:type="character" w:styleId="IntenseEmphasis">
    <w:name w:val="Intense Emphasis"/>
    <w:basedOn w:val="DefaultParagraphFont"/>
    <w:uiPriority w:val="21"/>
    <w:qFormat/>
    <w:rsid w:val="006147BE"/>
    <w:rPr>
      <w:i/>
      <w:iCs/>
      <w:color w:val="0F4761" w:themeColor="accent1" w:themeShade="BF"/>
    </w:rPr>
  </w:style>
  <w:style w:type="paragraph" w:styleId="IntenseQuote">
    <w:name w:val="Intense Quote"/>
    <w:basedOn w:val="Normal"/>
    <w:next w:val="Normal"/>
    <w:link w:val="IntenseQuoteChar"/>
    <w:uiPriority w:val="30"/>
    <w:qFormat/>
    <w:rsid w:val="006147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7BE"/>
    <w:rPr>
      <w:i/>
      <w:iCs/>
      <w:color w:val="0F4761" w:themeColor="accent1" w:themeShade="BF"/>
    </w:rPr>
  </w:style>
  <w:style w:type="character" w:styleId="IntenseReference">
    <w:name w:val="Intense Reference"/>
    <w:basedOn w:val="DefaultParagraphFont"/>
    <w:uiPriority w:val="32"/>
    <w:qFormat/>
    <w:rsid w:val="006147BE"/>
    <w:rPr>
      <w:b/>
      <w:bCs/>
      <w:smallCaps/>
      <w:color w:val="0F4761" w:themeColor="accent1" w:themeShade="BF"/>
      <w:spacing w:val="5"/>
    </w:rPr>
  </w:style>
  <w:style w:type="paragraph" w:styleId="Header">
    <w:name w:val="header"/>
    <w:basedOn w:val="Normal"/>
    <w:link w:val="HeaderChar"/>
    <w:uiPriority w:val="99"/>
    <w:unhideWhenUsed/>
    <w:rsid w:val="006F61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144"/>
  </w:style>
  <w:style w:type="paragraph" w:styleId="Footer">
    <w:name w:val="footer"/>
    <w:basedOn w:val="Normal"/>
    <w:link w:val="FooterChar"/>
    <w:uiPriority w:val="99"/>
    <w:unhideWhenUsed/>
    <w:rsid w:val="006F61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144"/>
  </w:style>
  <w:style w:type="character" w:customStyle="1" w:styleId="15">
    <w:name w:val="15"/>
    <w:basedOn w:val="DefaultParagraphFont"/>
    <w:rsid w:val="007B6546"/>
    <w:rPr>
      <w:rFonts w:ascii="Aptos" w:hAnsi="Aptos" w:hint="default"/>
    </w:rPr>
  </w:style>
  <w:style w:type="character" w:customStyle="1" w:styleId="16">
    <w:name w:val="16"/>
    <w:basedOn w:val="DefaultParagraphFont"/>
    <w:rsid w:val="007B6546"/>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34092">
      <w:bodyDiv w:val="1"/>
      <w:marLeft w:val="0"/>
      <w:marRight w:val="0"/>
      <w:marTop w:val="0"/>
      <w:marBottom w:val="0"/>
      <w:divBdr>
        <w:top w:val="none" w:sz="0" w:space="0" w:color="auto"/>
        <w:left w:val="none" w:sz="0" w:space="0" w:color="auto"/>
        <w:bottom w:val="none" w:sz="0" w:space="0" w:color="auto"/>
        <w:right w:val="none" w:sz="0" w:space="0" w:color="auto"/>
      </w:divBdr>
    </w:div>
    <w:div w:id="811291029">
      <w:bodyDiv w:val="1"/>
      <w:marLeft w:val="0"/>
      <w:marRight w:val="0"/>
      <w:marTop w:val="0"/>
      <w:marBottom w:val="0"/>
      <w:divBdr>
        <w:top w:val="none" w:sz="0" w:space="0" w:color="auto"/>
        <w:left w:val="none" w:sz="0" w:space="0" w:color="auto"/>
        <w:bottom w:val="none" w:sz="0" w:space="0" w:color="auto"/>
        <w:right w:val="none" w:sz="0" w:space="0" w:color="auto"/>
      </w:divBdr>
      <w:divsChild>
        <w:div w:id="1244267495">
          <w:marLeft w:val="0"/>
          <w:marRight w:val="0"/>
          <w:marTop w:val="0"/>
          <w:marBottom w:val="0"/>
          <w:divBdr>
            <w:top w:val="none" w:sz="0" w:space="0" w:color="auto"/>
            <w:left w:val="none" w:sz="0" w:space="0" w:color="auto"/>
            <w:bottom w:val="none" w:sz="0" w:space="0" w:color="auto"/>
            <w:right w:val="none" w:sz="0" w:space="0" w:color="auto"/>
          </w:divBdr>
        </w:div>
        <w:div w:id="801656340">
          <w:marLeft w:val="0"/>
          <w:marRight w:val="0"/>
          <w:marTop w:val="0"/>
          <w:marBottom w:val="0"/>
          <w:divBdr>
            <w:top w:val="none" w:sz="0" w:space="0" w:color="auto"/>
            <w:left w:val="none" w:sz="0" w:space="0" w:color="auto"/>
            <w:bottom w:val="none" w:sz="0" w:space="0" w:color="auto"/>
            <w:right w:val="none" w:sz="0" w:space="0" w:color="auto"/>
          </w:divBdr>
        </w:div>
        <w:div w:id="5862563">
          <w:marLeft w:val="0"/>
          <w:marRight w:val="0"/>
          <w:marTop w:val="0"/>
          <w:marBottom w:val="0"/>
          <w:divBdr>
            <w:top w:val="none" w:sz="0" w:space="0" w:color="auto"/>
            <w:left w:val="none" w:sz="0" w:space="0" w:color="auto"/>
            <w:bottom w:val="none" w:sz="0" w:space="0" w:color="auto"/>
            <w:right w:val="none" w:sz="0" w:space="0" w:color="auto"/>
          </w:divBdr>
        </w:div>
      </w:divsChild>
    </w:div>
    <w:div w:id="109879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987</Words>
  <Characters>5629</Characters>
  <Application>Microsoft Office Word</Application>
  <DocSecurity>0</DocSecurity>
  <Lines>46</Lines>
  <Paragraphs>13</Paragraphs>
  <ScaleCrop>false</ScaleCrop>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5</cp:revision>
  <dcterms:created xsi:type="dcterms:W3CDTF">2024-05-14T07:48:00Z</dcterms:created>
  <dcterms:modified xsi:type="dcterms:W3CDTF">2024-05-14T10:58:00Z</dcterms:modified>
</cp:coreProperties>
</file>